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689" w14:textId="77777777" w:rsidR="0049736E" w:rsidRDefault="0049736E" w:rsidP="00A601E6">
      <w:pPr>
        <w:spacing w:after="200"/>
        <w:rPr>
          <w:rFonts w:ascii="Calibri" w:hAnsi="Calibri" w:cs="Calibri"/>
          <w:kern w:val="28"/>
          <w:sz w:val="32"/>
        </w:rPr>
      </w:pPr>
      <w:r w:rsidRPr="0049736E">
        <w:rPr>
          <w:rFonts w:ascii="Calibri" w:hAnsi="Calibri" w:cs="Calibri"/>
          <w:kern w:val="28"/>
          <w:sz w:val="32"/>
        </w:rPr>
        <w:t>﻿Management’s Role in Gender Transition</w:t>
      </w:r>
    </w:p>
    <w:p w14:paraId="263C9EDB" w14:textId="77777777" w:rsidR="0049736E" w:rsidRPr="0049736E" w:rsidRDefault="0030158A" w:rsidP="0049736E">
      <w:pPr>
        <w:spacing w:after="200"/>
        <w:rPr>
          <w:rFonts w:cs="Calibri"/>
        </w:rPr>
      </w:pPr>
      <w:r w:rsidRPr="0030158A">
        <w:rPr>
          <w:rFonts w:ascii="Calibri" w:hAnsi="Calibri" w:cs="Calibri"/>
        </w:rPr>
        <w:t>﻿</w:t>
      </w:r>
      <w:r w:rsidR="00A601E6" w:rsidRPr="00A601E6">
        <w:rPr>
          <w:rFonts w:ascii="Calibri" w:hAnsi="Calibri" w:cs="Calibri"/>
        </w:rPr>
        <w:t>﻿</w:t>
      </w:r>
      <w:r w:rsidR="0049736E" w:rsidRPr="0049736E">
        <w:rPr>
          <w:rFonts w:ascii="Calibri" w:hAnsi="Calibri" w:cs="Calibri"/>
        </w:rPr>
        <w:t>﻿</w:t>
      </w:r>
      <w:r w:rsidR="0049736E" w:rsidRPr="0049736E">
        <w:rPr>
          <w:rFonts w:cs="Calibri"/>
        </w:rPr>
        <w:t xml:space="preserve">Management support is key when someone is transitioning their gender at work. A proactive approach will help to ensure that the process is handled with empathy and respect. </w:t>
      </w:r>
    </w:p>
    <w:p w14:paraId="7EA70F39" w14:textId="38054DFD" w:rsidR="0049736E" w:rsidRPr="0049736E" w:rsidRDefault="0049736E" w:rsidP="0049736E">
      <w:pPr>
        <w:spacing w:after="200"/>
        <w:rPr>
          <w:rFonts w:cs="Calibri"/>
        </w:rPr>
      </w:pPr>
      <w:r w:rsidRPr="0049736E">
        <w:rPr>
          <w:rFonts w:cs="Calibri"/>
        </w:rPr>
        <w:t>When a team member informs a manager that they are transitioning, it is important that management become part of the workplace planning process. Together, they can:</w:t>
      </w:r>
    </w:p>
    <w:p w14:paraId="69FFEB7A" w14:textId="4217AA3D" w:rsidR="0049736E" w:rsidRPr="0049736E" w:rsidRDefault="0049736E" w:rsidP="0049736E">
      <w:pPr>
        <w:pStyle w:val="ListParagraph"/>
        <w:numPr>
          <w:ilvl w:val="0"/>
          <w:numId w:val="35"/>
        </w:numPr>
        <w:spacing w:after="200"/>
        <w:rPr>
          <w:rFonts w:cs="Calibri"/>
        </w:rPr>
      </w:pPr>
      <w:r w:rsidRPr="0049736E">
        <w:rPr>
          <w:rFonts w:cs="Calibri"/>
        </w:rPr>
        <w:t xml:space="preserve">Determine a timeline for the </w:t>
      </w:r>
      <w:proofErr w:type="gramStart"/>
      <w:r w:rsidRPr="0049736E">
        <w:rPr>
          <w:rFonts w:cs="Calibri"/>
        </w:rPr>
        <w:t>transition</w:t>
      </w:r>
      <w:proofErr w:type="gramEnd"/>
    </w:p>
    <w:p w14:paraId="19F98535" w14:textId="6AE859BF" w:rsidR="0049736E" w:rsidRPr="0049736E" w:rsidRDefault="0049736E" w:rsidP="0049736E">
      <w:pPr>
        <w:pStyle w:val="ListParagraph"/>
        <w:numPr>
          <w:ilvl w:val="0"/>
          <w:numId w:val="35"/>
        </w:numPr>
        <w:spacing w:after="200"/>
        <w:rPr>
          <w:rFonts w:cs="Calibri"/>
        </w:rPr>
      </w:pPr>
      <w:r w:rsidRPr="0049736E">
        <w:rPr>
          <w:rFonts w:cs="Calibri"/>
        </w:rPr>
        <w:t>Plan solutions for common issues, such as restroom use and updates to company records</w:t>
      </w:r>
    </w:p>
    <w:p w14:paraId="14780C96" w14:textId="02E8F144" w:rsidR="0049736E" w:rsidRPr="0049736E" w:rsidRDefault="0049736E" w:rsidP="0049736E">
      <w:pPr>
        <w:pStyle w:val="ListParagraph"/>
        <w:numPr>
          <w:ilvl w:val="0"/>
          <w:numId w:val="35"/>
        </w:numPr>
        <w:spacing w:after="200"/>
        <w:rPr>
          <w:rFonts w:cs="Calibri"/>
        </w:rPr>
      </w:pPr>
      <w:r w:rsidRPr="0049736E">
        <w:rPr>
          <w:rFonts w:cs="Calibri"/>
        </w:rPr>
        <w:t xml:space="preserve">Involve other parties, such as </w:t>
      </w:r>
      <w:proofErr w:type="spellStart"/>
      <w:r w:rsidRPr="0049736E">
        <w:rPr>
          <w:rFonts w:cs="Calibri"/>
        </w:rPr>
        <w:t>LifeMatters</w:t>
      </w:r>
      <w:proofErr w:type="spellEnd"/>
      <w:r w:rsidRPr="0049736E">
        <w:rPr>
          <w:rFonts w:cs="Calibri"/>
        </w:rPr>
        <w:t xml:space="preserve"> or experts in the field, to ensure the process is handled with </w:t>
      </w:r>
      <w:proofErr w:type="gramStart"/>
      <w:r w:rsidRPr="0049736E">
        <w:rPr>
          <w:rFonts w:cs="Calibri"/>
        </w:rPr>
        <w:t>care</w:t>
      </w:r>
      <w:proofErr w:type="gramEnd"/>
    </w:p>
    <w:p w14:paraId="5C879129" w14:textId="6A25C259" w:rsidR="0049736E" w:rsidRPr="0049736E" w:rsidRDefault="0049736E" w:rsidP="0049736E">
      <w:pPr>
        <w:spacing w:after="200"/>
        <w:rPr>
          <w:rFonts w:cs="Calibri"/>
        </w:rPr>
      </w:pPr>
      <w:r w:rsidRPr="0049736E">
        <w:rPr>
          <w:rFonts w:cs="Calibri"/>
        </w:rPr>
        <w:t xml:space="preserve">The gender transition process is often gradual for both the individual and the organization. A transitioning worker will </w:t>
      </w:r>
      <w:r w:rsidRPr="0049736E">
        <w:rPr>
          <w:rFonts w:cs="Calibri"/>
        </w:rPr>
        <w:tab/>
        <w:t xml:space="preserve">often notify management of their intent prior to any medical procedure or other major milestone, such as changing their name. Some individuals may opt to come out as non-binary or genderfluid prior to transitioning to another gender. When the person reveals their plans, they may disclose legitimate fears about past or future harassment. </w:t>
      </w:r>
    </w:p>
    <w:p w14:paraId="57D8B459" w14:textId="77777777" w:rsidR="0049736E" w:rsidRPr="0049736E" w:rsidRDefault="0049736E" w:rsidP="0049736E">
      <w:pPr>
        <w:spacing w:after="200"/>
        <w:rPr>
          <w:rFonts w:cs="Calibri"/>
        </w:rPr>
      </w:pPr>
      <w:r w:rsidRPr="0049736E">
        <w:rPr>
          <w:rFonts w:cs="Calibri"/>
        </w:rPr>
        <w:t xml:space="preserve">A formal announcement of the individual’s gender transition should be made by the highest-level manager on site. The </w:t>
      </w:r>
      <w:r w:rsidRPr="0049736E">
        <w:rPr>
          <w:rFonts w:cs="Calibri"/>
        </w:rPr>
        <w:tab/>
        <w:t>announcement should include: </w:t>
      </w:r>
    </w:p>
    <w:p w14:paraId="2F8BAE19" w14:textId="16E439C0" w:rsidR="0049736E" w:rsidRPr="0049736E" w:rsidRDefault="0049736E" w:rsidP="0049736E">
      <w:pPr>
        <w:pStyle w:val="ListParagraph"/>
        <w:numPr>
          <w:ilvl w:val="0"/>
          <w:numId w:val="36"/>
        </w:numPr>
        <w:spacing w:after="200"/>
        <w:rPr>
          <w:rFonts w:cs="Calibri"/>
        </w:rPr>
      </w:pPr>
      <w:r w:rsidRPr="0049736E">
        <w:rPr>
          <w:rFonts w:cs="Calibri"/>
        </w:rPr>
        <w:t>A statement of support for the transitioning person and their value to the team</w:t>
      </w:r>
    </w:p>
    <w:p w14:paraId="1CA2C0E9" w14:textId="204B0E45" w:rsidR="0049736E" w:rsidRPr="0049736E" w:rsidRDefault="0049736E" w:rsidP="0049736E">
      <w:pPr>
        <w:pStyle w:val="ListParagraph"/>
        <w:numPr>
          <w:ilvl w:val="0"/>
          <w:numId w:val="36"/>
        </w:numPr>
        <w:spacing w:after="200"/>
        <w:rPr>
          <w:rFonts w:cs="Calibri"/>
        </w:rPr>
      </w:pPr>
      <w:r w:rsidRPr="0049736E">
        <w:rPr>
          <w:rFonts w:cs="Calibri"/>
        </w:rPr>
        <w:t xml:space="preserve">The date the transition will </w:t>
      </w:r>
      <w:proofErr w:type="gramStart"/>
      <w:r w:rsidRPr="0049736E">
        <w:rPr>
          <w:rFonts w:cs="Calibri"/>
        </w:rPr>
        <w:t>occur</w:t>
      </w:r>
      <w:proofErr w:type="gramEnd"/>
    </w:p>
    <w:p w14:paraId="2ACF7D97" w14:textId="15E6D329" w:rsidR="0049736E" w:rsidRPr="0049736E" w:rsidRDefault="0049736E" w:rsidP="0049736E">
      <w:pPr>
        <w:pStyle w:val="ListParagraph"/>
        <w:numPr>
          <w:ilvl w:val="0"/>
          <w:numId w:val="36"/>
        </w:numPr>
        <w:spacing w:after="200"/>
        <w:rPr>
          <w:rFonts w:cs="Calibri"/>
        </w:rPr>
      </w:pPr>
      <w:r w:rsidRPr="0049736E">
        <w:rPr>
          <w:rFonts w:cs="Calibri"/>
        </w:rPr>
        <w:t>The person’s new name and pronouns</w:t>
      </w:r>
    </w:p>
    <w:p w14:paraId="7511E69D" w14:textId="66A7E24F" w:rsidR="0049736E" w:rsidRPr="0049736E" w:rsidRDefault="0049736E" w:rsidP="0049736E">
      <w:pPr>
        <w:pStyle w:val="ListParagraph"/>
        <w:numPr>
          <w:ilvl w:val="0"/>
          <w:numId w:val="36"/>
        </w:numPr>
        <w:spacing w:after="200"/>
        <w:rPr>
          <w:rFonts w:cs="Calibri"/>
        </w:rPr>
      </w:pPr>
      <w:r w:rsidRPr="0049736E">
        <w:rPr>
          <w:rFonts w:cs="Calibri"/>
        </w:rPr>
        <w:t>Expectations regarding respectful behavior within the workplace</w:t>
      </w:r>
    </w:p>
    <w:p w14:paraId="0C7563EB" w14:textId="4AE053E5" w:rsidR="0049736E" w:rsidRPr="0049736E" w:rsidRDefault="0049736E" w:rsidP="0049736E">
      <w:pPr>
        <w:spacing w:after="200"/>
        <w:rPr>
          <w:rFonts w:cs="Calibri"/>
        </w:rPr>
      </w:pPr>
      <w:r w:rsidRPr="0049736E">
        <w:rPr>
          <w:rFonts w:cs="Calibri"/>
        </w:rPr>
        <w:t xml:space="preserve">Prior to the announcement, all managers should review the organization’s harassment and/or sexual harassment policy. It may also be helpful to consult with the </w:t>
      </w:r>
      <w:proofErr w:type="spellStart"/>
      <w:r w:rsidRPr="0049736E">
        <w:rPr>
          <w:rFonts w:cs="Calibri"/>
        </w:rPr>
        <w:t>LifeMatters</w:t>
      </w:r>
      <w:proofErr w:type="spellEnd"/>
      <w:r w:rsidRPr="0049736E">
        <w:rPr>
          <w:rFonts w:cs="Calibri"/>
        </w:rPr>
        <w:t xml:space="preserve"> Management Consultation Service and review reputable information about gender transition so that managers can answer questions as they arise. </w:t>
      </w:r>
    </w:p>
    <w:p w14:paraId="0E86E9A5" w14:textId="1532D75C" w:rsidR="0049736E" w:rsidRPr="0049736E" w:rsidRDefault="0049736E" w:rsidP="0049736E">
      <w:pPr>
        <w:spacing w:after="200"/>
        <w:rPr>
          <w:rFonts w:cs="Calibri"/>
        </w:rPr>
      </w:pPr>
      <w:r w:rsidRPr="0049736E">
        <w:rPr>
          <w:rFonts w:cs="Calibri"/>
        </w:rPr>
        <w:t>Prior to the official day of the person’s transition in the workplace, their manager should arrange for the person’s next paycheck to be issued in their new name. In addition, on the day of the transition, the organization should: </w:t>
      </w:r>
    </w:p>
    <w:p w14:paraId="68BE060D" w14:textId="78A8668D" w:rsidR="0049736E" w:rsidRPr="0049736E" w:rsidRDefault="0049736E" w:rsidP="0049736E">
      <w:pPr>
        <w:pStyle w:val="ListParagraph"/>
        <w:numPr>
          <w:ilvl w:val="0"/>
          <w:numId w:val="34"/>
        </w:numPr>
        <w:spacing w:after="200"/>
        <w:rPr>
          <w:rFonts w:cs="Calibri"/>
        </w:rPr>
      </w:pPr>
      <w:r w:rsidRPr="0049736E">
        <w:rPr>
          <w:rFonts w:cs="Calibri"/>
        </w:rPr>
        <w:t xml:space="preserve">Issue the person an identification badge with their new name and </w:t>
      </w:r>
      <w:proofErr w:type="gramStart"/>
      <w:r w:rsidRPr="0049736E">
        <w:rPr>
          <w:rFonts w:cs="Calibri"/>
        </w:rPr>
        <w:t>photo</w:t>
      </w:r>
      <w:proofErr w:type="gramEnd"/>
    </w:p>
    <w:p w14:paraId="5CFB19E1" w14:textId="307C3F85" w:rsidR="0049736E" w:rsidRPr="0049736E" w:rsidRDefault="0049736E" w:rsidP="0049736E">
      <w:pPr>
        <w:pStyle w:val="ListParagraph"/>
        <w:numPr>
          <w:ilvl w:val="0"/>
          <w:numId w:val="34"/>
        </w:numPr>
        <w:spacing w:after="200"/>
        <w:rPr>
          <w:rFonts w:cs="Calibri"/>
        </w:rPr>
      </w:pPr>
      <w:r w:rsidRPr="0049736E">
        <w:rPr>
          <w:rFonts w:cs="Calibri"/>
        </w:rPr>
        <w:t xml:space="preserve">Update their email, computer handle, or account </w:t>
      </w:r>
      <w:r w:rsidRPr="0049736E">
        <w:rPr>
          <w:rFonts w:cs="Calibri"/>
        </w:rPr>
        <w:tab/>
        <w:t>identification</w:t>
      </w:r>
    </w:p>
    <w:p w14:paraId="281CC1EE" w14:textId="1DAE1262" w:rsidR="0049736E" w:rsidRPr="0049736E" w:rsidRDefault="0049736E" w:rsidP="0049736E">
      <w:pPr>
        <w:pStyle w:val="ListParagraph"/>
        <w:numPr>
          <w:ilvl w:val="0"/>
          <w:numId w:val="34"/>
        </w:numPr>
        <w:spacing w:after="200"/>
        <w:rPr>
          <w:rFonts w:cs="Calibri"/>
        </w:rPr>
      </w:pPr>
      <w:r w:rsidRPr="0049736E">
        <w:rPr>
          <w:rFonts w:cs="Calibri"/>
        </w:rPr>
        <w:t xml:space="preserve">Provide a new nametag for the person’s door, desk, or </w:t>
      </w:r>
      <w:proofErr w:type="gramStart"/>
      <w:r w:rsidRPr="0049736E">
        <w:rPr>
          <w:rFonts w:cs="Calibri"/>
        </w:rPr>
        <w:t>cubicle</w:t>
      </w:r>
      <w:proofErr w:type="gramEnd"/>
    </w:p>
    <w:p w14:paraId="72487E3B" w14:textId="44DB9C3B" w:rsidR="0049736E" w:rsidRPr="0049736E" w:rsidRDefault="0049736E" w:rsidP="0049736E">
      <w:pPr>
        <w:spacing w:after="200"/>
        <w:rPr>
          <w:rFonts w:cs="Calibri"/>
        </w:rPr>
      </w:pPr>
      <w:r w:rsidRPr="0049736E">
        <w:rPr>
          <w:rFonts w:cs="Calibri"/>
        </w:rPr>
        <w:t>Human Resources and other departments should also update the person’s name, pronouns, and gender on organizational charts, mailing lists, and other personnel data. References to the person’s previous name (or “dead name”) should be removed.</w:t>
      </w:r>
    </w:p>
    <w:p w14:paraId="621F952B" w14:textId="77777777" w:rsidR="0049736E" w:rsidRPr="0049736E" w:rsidRDefault="0049736E" w:rsidP="0049736E">
      <w:pPr>
        <w:spacing w:after="200"/>
        <w:rPr>
          <w:rFonts w:cs="Calibri"/>
        </w:rPr>
      </w:pPr>
      <w:r w:rsidRPr="0049736E">
        <w:rPr>
          <w:rFonts w:cs="Calibri"/>
        </w:rPr>
        <w:lastRenderedPageBreak/>
        <w:t xml:space="preserve">Unless prohibited by local law, the transitioning person should use the restroom that is consistent with their gender identity. If a business uses a public restroom that is not under the direct control of the organization, the matter should be discussed with the landlord. Include the transitioning person in any discussions regarding shower facilities or communal disrobing areas and make sure that they are comfortable with the final arrangements. </w:t>
      </w:r>
    </w:p>
    <w:p w14:paraId="70AA76A6" w14:textId="77777777" w:rsidR="0049736E" w:rsidRPr="0049736E" w:rsidRDefault="0049736E" w:rsidP="0049736E">
      <w:pPr>
        <w:spacing w:after="200"/>
        <w:rPr>
          <w:rFonts w:cs="Calibri"/>
        </w:rPr>
      </w:pPr>
      <w:r w:rsidRPr="0049736E">
        <w:rPr>
          <w:rFonts w:cs="Calibri"/>
        </w:rPr>
        <w:t>A transgender person’s transition must happen at their own pace. It is important to avoid rushing them into any decisions. Your organization will benefit from providing a supportive, respectful environment where they feel safe to be themselves.</w:t>
      </w:r>
    </w:p>
    <w:p w14:paraId="1AB7620A" w14:textId="77777777" w:rsidR="00C81C3B" w:rsidRDefault="00C81C3B" w:rsidP="00C81C3B">
      <w:pPr>
        <w:rPr>
          <w:rStyle w:val="EmphasisA"/>
          <w:rFonts w:hint="eastAsia"/>
        </w:rPr>
      </w:pPr>
      <w:r>
        <w:rPr>
          <w:rStyle w:val="EmphasisA"/>
        </w:rPr>
        <w:t xml:space="preserve">Call the </w:t>
      </w:r>
      <w:proofErr w:type="spellStart"/>
      <w:r>
        <w:rPr>
          <w:rStyle w:val="EmphasisA"/>
        </w:rPr>
        <w:t>LifeMatters</w:t>
      </w:r>
      <w:proofErr w:type="spellEnd"/>
      <w:r>
        <w:rPr>
          <w:rStyle w:val="EmphasisA"/>
        </w:rPr>
        <w:t xml:space="preserve"> Management Consultation Service toll-free anytime. </w:t>
      </w:r>
    </w:p>
    <w:p w14:paraId="0838DFD8" w14:textId="77777777" w:rsidR="00C81C3B" w:rsidRDefault="00C81C3B" w:rsidP="00C81C3B">
      <w:pPr>
        <w:rPr>
          <w:rStyle w:val="EmphasisA"/>
          <w:rFonts w:hint="eastAsia"/>
        </w:rPr>
      </w:pPr>
      <w:r>
        <w:rPr>
          <w:rStyle w:val="EmphasisA"/>
        </w:rPr>
        <w:t>1-800-634-6433</w:t>
      </w:r>
    </w:p>
    <w:p w14:paraId="08F01C84" w14:textId="77777777" w:rsidR="00C81C3B" w:rsidRDefault="00C81C3B" w:rsidP="00C81C3B">
      <w:pPr>
        <w:rPr>
          <w:rStyle w:val="EmphasisA"/>
          <w:rFonts w:hint="eastAsia"/>
        </w:rPr>
      </w:pPr>
      <w:r>
        <w:rPr>
          <w:rStyle w:val="EmphasisA"/>
        </w:rPr>
        <w:t>Assistance with Life, Work, Family, and Wellbeing</w:t>
      </w:r>
    </w:p>
    <w:p w14:paraId="7E82AC85" w14:textId="77777777" w:rsidR="00C81C3B" w:rsidRDefault="00C81C3B" w:rsidP="00C81C3B">
      <w:pPr>
        <w:rPr>
          <w:rStyle w:val="EmphasisA"/>
          <w:rFonts w:hint="eastAsia"/>
        </w:rPr>
      </w:pPr>
      <w:r>
        <w:rPr>
          <w:rStyle w:val="EmphasisA"/>
        </w:rPr>
        <w:t>24/7/365</w:t>
      </w:r>
    </w:p>
    <w:p w14:paraId="76216FD6" w14:textId="77777777" w:rsidR="00C81C3B" w:rsidRDefault="00C81C3B" w:rsidP="00C81C3B">
      <w:pPr>
        <w:rPr>
          <w:rStyle w:val="EmphasisA"/>
          <w:rFonts w:hint="eastAsia"/>
        </w:rPr>
      </w:pPr>
      <w:r>
        <w:rPr>
          <w:rStyle w:val="EmphasisA"/>
        </w:rPr>
        <w:t>mylifematters.com</w:t>
      </w:r>
    </w:p>
    <w:p w14:paraId="7BCC58F4" w14:textId="77777777" w:rsidR="00C81C3B" w:rsidRDefault="00C81C3B" w:rsidP="00C81C3B">
      <w:pPr>
        <w:rPr>
          <w:rStyle w:val="EmphasisA"/>
          <w:rFonts w:hint="eastAsia"/>
        </w:rPr>
      </w:pPr>
      <w:r>
        <w:rPr>
          <w:rStyle w:val="EmphasisA"/>
        </w:rPr>
        <w:t>Text* “Hello” to 61295</w:t>
      </w:r>
    </w:p>
    <w:p w14:paraId="697D7E5A" w14:textId="77777777" w:rsidR="00C81C3B" w:rsidRDefault="00C81C3B" w:rsidP="00C81C3B">
      <w:pPr>
        <w:rPr>
          <w:rStyle w:val="EmphasisA"/>
          <w:rFonts w:hint="eastAsia"/>
        </w:rPr>
      </w:pPr>
      <w:r>
        <w:rPr>
          <w:rStyle w:val="EmphasisA"/>
        </w:rPr>
        <w:t xml:space="preserve">Call </w:t>
      </w:r>
      <w:proofErr w:type="gramStart"/>
      <w:r>
        <w:rPr>
          <w:rStyle w:val="EmphasisA"/>
        </w:rPr>
        <w:t>collect</w:t>
      </w:r>
      <w:proofErr w:type="gramEnd"/>
      <w:r>
        <w:rPr>
          <w:rStyle w:val="EmphasisA"/>
        </w:rPr>
        <w:t xml:space="preserve"> to 262-574-2509 if outside of North America</w:t>
      </w:r>
    </w:p>
    <w:p w14:paraId="0E652A53" w14:textId="77777777" w:rsidR="00C81C3B" w:rsidRDefault="00C81C3B" w:rsidP="00C81C3B">
      <w:pPr>
        <w:rPr>
          <w:rStyle w:val="EmphasisA"/>
          <w:rFonts w:hint="eastAsia"/>
        </w:rPr>
      </w:pPr>
      <w:r>
        <w:rPr>
          <w:rStyle w:val="EmphasisA"/>
        </w:rPr>
        <w:t xml:space="preserve">TTY/TRS 711 and language translation services are </w:t>
      </w:r>
      <w:proofErr w:type="gramStart"/>
      <w:r>
        <w:rPr>
          <w:rStyle w:val="EmphasisA"/>
        </w:rPr>
        <w:t>available</w:t>
      </w:r>
      <w:proofErr w:type="gramEnd"/>
    </w:p>
    <w:p w14:paraId="5A156DA5" w14:textId="77777777" w:rsidR="00C81C3B" w:rsidRPr="00C507DB" w:rsidRDefault="00C81C3B" w:rsidP="00C81C3B">
      <w:pPr>
        <w:spacing w:after="200"/>
        <w:rPr>
          <w:rStyle w:val="EmphasisA"/>
          <w:rFonts w:hint="eastAsia"/>
        </w:rPr>
      </w:pPr>
      <w:r w:rsidRPr="00C507DB">
        <w:rPr>
          <w:rStyle w:val="EmphasisA"/>
          <w:rFonts w:ascii="Calibri" w:hAnsi="Calibri" w:cs="Calibri"/>
        </w:rPr>
        <w:t>﻿</w:t>
      </w:r>
      <w:r w:rsidRPr="00C507DB">
        <w:rPr>
          <w:rStyle w:val="EmphasisA"/>
        </w:rPr>
        <w:t xml:space="preserve">*SMS messages will be sent for the duration of the chat. Message and data rates may apply. Text HELP for help and STOP to cancel. </w:t>
      </w:r>
    </w:p>
    <w:p w14:paraId="031C3554" w14:textId="77777777" w:rsidR="00C81C3B" w:rsidRDefault="00C81C3B" w:rsidP="00C81C3B">
      <w:pPr>
        <w:spacing w:after="200"/>
        <w:rPr>
          <w:rStyle w:val="EmphasisA"/>
          <w:rFonts w:hint="eastAsia"/>
        </w:rPr>
      </w:pPr>
      <w:r w:rsidRPr="00C507DB">
        <w:rPr>
          <w:rStyle w:val="EmphasisA"/>
        </w:rPr>
        <w:t xml:space="preserve">SMS terms of service at </w:t>
      </w:r>
      <w:hyperlink r:id="rId7" w:history="1">
        <w:r w:rsidRPr="00E565B3">
          <w:rPr>
            <w:rStyle w:val="Hyperlink"/>
            <w:rFonts w:ascii="Cambria Italic" w:hAnsi="Cambria Italic"/>
          </w:rPr>
          <w:t>https://www.empathia.com/smsterms.pdf</w:t>
        </w:r>
      </w:hyperlink>
    </w:p>
    <w:p w14:paraId="6C367795" w14:textId="77777777" w:rsidR="00C81C3B" w:rsidRDefault="00C81C3B" w:rsidP="00C81C3B">
      <w:pPr>
        <w:spacing w:after="200"/>
        <w:rPr>
          <w:rStyle w:val="EmphasisA"/>
          <w:rFonts w:hint="eastAsia"/>
        </w:rPr>
      </w:pPr>
      <w:r w:rsidRPr="00C507DB">
        <w:rPr>
          <w:rStyle w:val="EmphasisA"/>
        </w:rPr>
        <w:t xml:space="preserve"> Privacy policy: </w:t>
      </w:r>
      <w:hyperlink r:id="rId8" w:history="1">
        <w:r w:rsidRPr="00E565B3">
          <w:rPr>
            <w:rStyle w:val="Hyperlink"/>
            <w:rFonts w:ascii="Cambria Italic" w:hAnsi="Cambria Italic"/>
          </w:rPr>
          <w:t>https://empathia.com/privacy.pdf</w:t>
        </w:r>
      </w:hyperlink>
    </w:p>
    <w:p w14:paraId="5B5FD0C1" w14:textId="406A282D" w:rsidR="003A2F0B" w:rsidRPr="00B678CA" w:rsidRDefault="00C81C3B" w:rsidP="00C81C3B">
      <w:pPr>
        <w:spacing w:after="200"/>
        <w:rPr>
          <w:rFonts w:eastAsia="Times New Roman"/>
          <w:color w:val="auto"/>
          <w:sz w:val="20"/>
          <w:lang w:bidi="x-none"/>
        </w:rPr>
      </w:pPr>
      <w:r w:rsidRPr="00B678CA">
        <w:t>©202</w:t>
      </w:r>
      <w:r>
        <w:t>3</w:t>
      </w:r>
      <w:r w:rsidRPr="00B678CA">
        <w:t xml:space="preserve"> </w:t>
      </w:r>
      <w:proofErr w:type="spellStart"/>
      <w:r w:rsidRPr="00B678CA">
        <w:t>Empathia</w:t>
      </w:r>
      <w:proofErr w:type="spellEnd"/>
      <w:r w:rsidRPr="00B678CA">
        <w:t xml:space="preserve">, Inc. </w:t>
      </w:r>
    </w:p>
    <w:sectPr w:rsidR="003A2F0B" w:rsidRPr="00B678CA">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E1F9" w14:textId="77777777" w:rsidR="00D60116" w:rsidRDefault="00D60116">
      <w:r>
        <w:separator/>
      </w:r>
    </w:p>
  </w:endnote>
  <w:endnote w:type="continuationSeparator" w:id="0">
    <w:p w14:paraId="668012B7" w14:textId="77777777" w:rsidR="00D60116" w:rsidRDefault="00D6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ambria Italic">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5B9" w14:textId="77777777" w:rsidR="00EA7F25" w:rsidRDefault="00EA7F2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6F2" w14:textId="77777777" w:rsidR="00EA7F25" w:rsidRDefault="00EA7F2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8390" w14:textId="77777777" w:rsidR="00D60116" w:rsidRDefault="00D60116">
      <w:r>
        <w:separator/>
      </w:r>
    </w:p>
  </w:footnote>
  <w:footnote w:type="continuationSeparator" w:id="0">
    <w:p w14:paraId="13346948" w14:textId="77777777" w:rsidR="00D60116" w:rsidRDefault="00D6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6709" w14:textId="77777777" w:rsidR="00EA7F25" w:rsidRDefault="00EA7F2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9A" w14:textId="77777777" w:rsidR="00EA7F25" w:rsidRDefault="00EA7F2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60"/>
    <w:multiLevelType w:val="hybridMultilevel"/>
    <w:tmpl w:val="3BB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588"/>
    <w:multiLevelType w:val="hybridMultilevel"/>
    <w:tmpl w:val="4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5862"/>
    <w:multiLevelType w:val="hybridMultilevel"/>
    <w:tmpl w:val="D26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25491"/>
    <w:multiLevelType w:val="hybridMultilevel"/>
    <w:tmpl w:val="01A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7963"/>
    <w:multiLevelType w:val="hybridMultilevel"/>
    <w:tmpl w:val="46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5D64"/>
    <w:multiLevelType w:val="hybridMultilevel"/>
    <w:tmpl w:val="0B9C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5300"/>
    <w:multiLevelType w:val="hybridMultilevel"/>
    <w:tmpl w:val="F07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24BA8"/>
    <w:multiLevelType w:val="hybridMultilevel"/>
    <w:tmpl w:val="CD96A546"/>
    <w:lvl w:ilvl="0" w:tplc="04090001">
      <w:start w:val="1"/>
      <w:numFmt w:val="bullet"/>
      <w:lvlText w:val=""/>
      <w:lvlJc w:val="left"/>
      <w:pPr>
        <w:ind w:left="720" w:hanging="360"/>
      </w:pPr>
      <w:rPr>
        <w:rFonts w:ascii="Symbol" w:hAnsi="Symbol" w:hint="default"/>
      </w:rPr>
    </w:lvl>
    <w:lvl w:ilvl="1" w:tplc="D624C3CE">
      <w:start w:val="4"/>
      <w:numFmt w:val="bullet"/>
      <w:lvlText w:val="-"/>
      <w:lvlJc w:val="left"/>
      <w:pPr>
        <w:ind w:left="1800" w:hanging="72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81AD5"/>
    <w:multiLevelType w:val="hybridMultilevel"/>
    <w:tmpl w:val="D1E4BEF4"/>
    <w:lvl w:ilvl="0" w:tplc="C060B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B5538"/>
    <w:multiLevelType w:val="hybridMultilevel"/>
    <w:tmpl w:val="495838E0"/>
    <w:lvl w:ilvl="0" w:tplc="BD02721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D7C4A"/>
    <w:multiLevelType w:val="hybridMultilevel"/>
    <w:tmpl w:val="DA20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C1E1C"/>
    <w:multiLevelType w:val="hybridMultilevel"/>
    <w:tmpl w:val="8A36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91A5F"/>
    <w:multiLevelType w:val="hybridMultilevel"/>
    <w:tmpl w:val="DD5C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E2CFA"/>
    <w:multiLevelType w:val="hybridMultilevel"/>
    <w:tmpl w:val="7C7A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B42AD"/>
    <w:multiLevelType w:val="hybridMultilevel"/>
    <w:tmpl w:val="3C64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B5738"/>
    <w:multiLevelType w:val="hybridMultilevel"/>
    <w:tmpl w:val="A8C4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112A0"/>
    <w:multiLevelType w:val="hybridMultilevel"/>
    <w:tmpl w:val="5556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E085F"/>
    <w:multiLevelType w:val="hybridMultilevel"/>
    <w:tmpl w:val="8E8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3240F"/>
    <w:multiLevelType w:val="hybridMultilevel"/>
    <w:tmpl w:val="D396A63A"/>
    <w:lvl w:ilvl="0" w:tplc="88D86CD0">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E0593"/>
    <w:multiLevelType w:val="hybridMultilevel"/>
    <w:tmpl w:val="64CA21B8"/>
    <w:lvl w:ilvl="0" w:tplc="75A83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15AA7"/>
    <w:multiLevelType w:val="hybridMultilevel"/>
    <w:tmpl w:val="23C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56FEA"/>
    <w:multiLevelType w:val="hybridMultilevel"/>
    <w:tmpl w:val="FCCA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C26C8"/>
    <w:multiLevelType w:val="hybridMultilevel"/>
    <w:tmpl w:val="167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C0DDB"/>
    <w:multiLevelType w:val="hybridMultilevel"/>
    <w:tmpl w:val="931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67591"/>
    <w:multiLevelType w:val="hybridMultilevel"/>
    <w:tmpl w:val="10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0699C"/>
    <w:multiLevelType w:val="hybridMultilevel"/>
    <w:tmpl w:val="8254718C"/>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D6E2D"/>
    <w:multiLevelType w:val="hybridMultilevel"/>
    <w:tmpl w:val="EA74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D5664"/>
    <w:multiLevelType w:val="hybridMultilevel"/>
    <w:tmpl w:val="0AA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8774E"/>
    <w:multiLevelType w:val="hybridMultilevel"/>
    <w:tmpl w:val="88C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11463"/>
    <w:multiLevelType w:val="hybridMultilevel"/>
    <w:tmpl w:val="7E6689C6"/>
    <w:lvl w:ilvl="0" w:tplc="88441A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34E92"/>
    <w:multiLevelType w:val="hybridMultilevel"/>
    <w:tmpl w:val="FE9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46D74"/>
    <w:multiLevelType w:val="hybridMultilevel"/>
    <w:tmpl w:val="8FA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D3573"/>
    <w:multiLevelType w:val="hybridMultilevel"/>
    <w:tmpl w:val="0A9EADBA"/>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32B6F"/>
    <w:multiLevelType w:val="hybridMultilevel"/>
    <w:tmpl w:val="0FEAE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E3CFC"/>
    <w:multiLevelType w:val="hybridMultilevel"/>
    <w:tmpl w:val="C06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8576F"/>
    <w:multiLevelType w:val="hybridMultilevel"/>
    <w:tmpl w:val="0BDC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9460">
    <w:abstractNumId w:val="21"/>
  </w:num>
  <w:num w:numId="2" w16cid:durableId="1605847370">
    <w:abstractNumId w:val="1"/>
  </w:num>
  <w:num w:numId="3" w16cid:durableId="1951664676">
    <w:abstractNumId w:val="20"/>
  </w:num>
  <w:num w:numId="4" w16cid:durableId="1712223451">
    <w:abstractNumId w:val="13"/>
  </w:num>
  <w:num w:numId="5" w16cid:durableId="1111507530">
    <w:abstractNumId w:val="19"/>
  </w:num>
  <w:num w:numId="6" w16cid:durableId="907226199">
    <w:abstractNumId w:val="17"/>
  </w:num>
  <w:num w:numId="7" w16cid:durableId="43457407">
    <w:abstractNumId w:val="3"/>
  </w:num>
  <w:num w:numId="8" w16cid:durableId="783309636">
    <w:abstractNumId w:val="4"/>
  </w:num>
  <w:num w:numId="9" w16cid:durableId="1748333618">
    <w:abstractNumId w:val="31"/>
  </w:num>
  <w:num w:numId="10" w16cid:durableId="791825937">
    <w:abstractNumId w:val="5"/>
  </w:num>
  <w:num w:numId="11" w16cid:durableId="121659046">
    <w:abstractNumId w:val="18"/>
  </w:num>
  <w:num w:numId="12" w16cid:durableId="521359181">
    <w:abstractNumId w:val="34"/>
  </w:num>
  <w:num w:numId="13" w16cid:durableId="1500385800">
    <w:abstractNumId w:val="33"/>
  </w:num>
  <w:num w:numId="14" w16cid:durableId="1861621840">
    <w:abstractNumId w:val="9"/>
  </w:num>
  <w:num w:numId="15" w16cid:durableId="1184515423">
    <w:abstractNumId w:val="0"/>
  </w:num>
  <w:num w:numId="16" w16cid:durableId="1008827842">
    <w:abstractNumId w:val="14"/>
  </w:num>
  <w:num w:numId="17" w16cid:durableId="1535849894">
    <w:abstractNumId w:val="27"/>
  </w:num>
  <w:num w:numId="18" w16cid:durableId="863981719">
    <w:abstractNumId w:val="30"/>
  </w:num>
  <w:num w:numId="19" w16cid:durableId="78525575">
    <w:abstractNumId w:val="28"/>
  </w:num>
  <w:num w:numId="20" w16cid:durableId="1980069305">
    <w:abstractNumId w:val="32"/>
  </w:num>
  <w:num w:numId="21" w16cid:durableId="159661200">
    <w:abstractNumId w:val="7"/>
  </w:num>
  <w:num w:numId="22" w16cid:durableId="1458260889">
    <w:abstractNumId w:val="25"/>
  </w:num>
  <w:num w:numId="23" w16cid:durableId="1880623456">
    <w:abstractNumId w:val="24"/>
  </w:num>
  <w:num w:numId="24" w16cid:durableId="14967368">
    <w:abstractNumId w:val="6"/>
  </w:num>
  <w:num w:numId="25" w16cid:durableId="2036155301">
    <w:abstractNumId w:val="23"/>
  </w:num>
  <w:num w:numId="26" w16cid:durableId="36315547">
    <w:abstractNumId w:val="35"/>
  </w:num>
  <w:num w:numId="27" w16cid:durableId="1266353513">
    <w:abstractNumId w:val="12"/>
  </w:num>
  <w:num w:numId="28" w16cid:durableId="143087112">
    <w:abstractNumId w:val="10"/>
  </w:num>
  <w:num w:numId="29" w16cid:durableId="2092703273">
    <w:abstractNumId w:val="29"/>
  </w:num>
  <w:num w:numId="30" w16cid:durableId="717508514">
    <w:abstractNumId w:val="15"/>
  </w:num>
  <w:num w:numId="31" w16cid:durableId="429156381">
    <w:abstractNumId w:val="8"/>
  </w:num>
  <w:num w:numId="32" w16cid:durableId="1921670854">
    <w:abstractNumId w:val="2"/>
  </w:num>
  <w:num w:numId="33" w16cid:durableId="202451865">
    <w:abstractNumId w:val="22"/>
  </w:num>
  <w:num w:numId="34" w16cid:durableId="1100489031">
    <w:abstractNumId w:val="16"/>
  </w:num>
  <w:num w:numId="35" w16cid:durableId="864489011">
    <w:abstractNumId w:val="26"/>
  </w:num>
  <w:num w:numId="36" w16cid:durableId="360207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0"/>
    <w:rsid w:val="00013CCD"/>
    <w:rsid w:val="000C2576"/>
    <w:rsid w:val="0010286D"/>
    <w:rsid w:val="001102D0"/>
    <w:rsid w:val="0014644A"/>
    <w:rsid w:val="001542E6"/>
    <w:rsid w:val="00197C18"/>
    <w:rsid w:val="001D2FE5"/>
    <w:rsid w:val="00203973"/>
    <w:rsid w:val="00232E04"/>
    <w:rsid w:val="002773A2"/>
    <w:rsid w:val="002B0B21"/>
    <w:rsid w:val="0030158A"/>
    <w:rsid w:val="00336BA3"/>
    <w:rsid w:val="003658B9"/>
    <w:rsid w:val="003A2F0B"/>
    <w:rsid w:val="0049736E"/>
    <w:rsid w:val="004A7DA5"/>
    <w:rsid w:val="00507BB6"/>
    <w:rsid w:val="00523FAD"/>
    <w:rsid w:val="00526FA9"/>
    <w:rsid w:val="00555EF3"/>
    <w:rsid w:val="00562E7E"/>
    <w:rsid w:val="00593A58"/>
    <w:rsid w:val="005A6C20"/>
    <w:rsid w:val="006E6BB5"/>
    <w:rsid w:val="00712275"/>
    <w:rsid w:val="00732BC2"/>
    <w:rsid w:val="00745570"/>
    <w:rsid w:val="00792F44"/>
    <w:rsid w:val="0079769E"/>
    <w:rsid w:val="007B0D12"/>
    <w:rsid w:val="008135EC"/>
    <w:rsid w:val="00823AE6"/>
    <w:rsid w:val="008B033C"/>
    <w:rsid w:val="008E2006"/>
    <w:rsid w:val="008E55DC"/>
    <w:rsid w:val="00995BAA"/>
    <w:rsid w:val="009F1E18"/>
    <w:rsid w:val="00A601E6"/>
    <w:rsid w:val="00A73E54"/>
    <w:rsid w:val="00A77838"/>
    <w:rsid w:val="00AA34E7"/>
    <w:rsid w:val="00AF4ECA"/>
    <w:rsid w:val="00B678CA"/>
    <w:rsid w:val="00B746A8"/>
    <w:rsid w:val="00B84652"/>
    <w:rsid w:val="00BD46B4"/>
    <w:rsid w:val="00C11B96"/>
    <w:rsid w:val="00C317C9"/>
    <w:rsid w:val="00C507DB"/>
    <w:rsid w:val="00C81C3B"/>
    <w:rsid w:val="00CC0466"/>
    <w:rsid w:val="00D60116"/>
    <w:rsid w:val="00D83AF5"/>
    <w:rsid w:val="00DD700C"/>
    <w:rsid w:val="00E313E3"/>
    <w:rsid w:val="00EA3BE4"/>
    <w:rsid w:val="00EA7F25"/>
    <w:rsid w:val="00FB01C9"/>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7FE78A0"/>
  <w15:chartTrackingRefBased/>
  <w15:docId w15:val="{7D728BF1-60E5-0C41-B054-0B2089B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character" w:customStyle="1" w:styleId="EmphasisA">
    <w:name w:val="Emphasis A"/>
    <w:rPr>
      <w:rFonts w:ascii="Cambria Italic" w:eastAsia="ヒラギノ角ゴ Pro W3" w:hAnsi="Cambria Italic"/>
      <w:b w:val="0"/>
      <w:i w:val="0"/>
      <w:color w:val="000000"/>
      <w:sz w:val="24"/>
    </w:rPr>
  </w:style>
  <w:style w:type="character" w:customStyle="1" w:styleId="Unknown0">
    <w:name w:val="Unknown 0"/>
    <w:semiHidden/>
    <w:rPr>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10286D"/>
    <w:pPr>
      <w:ind w:left="720"/>
      <w:contextualSpacing/>
    </w:pPr>
  </w:style>
  <w:style w:type="character" w:styleId="Hyperlink">
    <w:name w:val="Hyperlink"/>
    <w:basedOn w:val="DefaultParagraphFont"/>
    <w:locked/>
    <w:rsid w:val="00C507DB"/>
    <w:rPr>
      <w:color w:val="0563C1" w:themeColor="hyperlink"/>
      <w:u w:val="single"/>
    </w:rPr>
  </w:style>
  <w:style w:type="character" w:styleId="UnresolvedMention">
    <w:name w:val="Unresolved Mention"/>
    <w:basedOn w:val="DefaultParagraphFont"/>
    <w:uiPriority w:val="99"/>
    <w:semiHidden/>
    <w:unhideWhenUsed/>
    <w:rsid w:val="00C5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571</Words>
  <Characters>3225</Characters>
  <Application>Microsoft Office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Workplace Alcohol or Drug Use: A Guide for Managers and Supervisors</vt:lpstr>
    </vt:vector>
  </TitlesOfParts>
  <Manager/>
  <Company/>
  <LinksUpToDate>false</LinksUpToDate>
  <CharactersWithSpaces>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Role in Gender Transition</dc:title>
  <dc:subject>June 2023 Promotion</dc:subject>
  <dc:creator>Empathia, Inc.</dc:creator>
  <cp:keywords/>
  <dc:description/>
  <cp:lastModifiedBy>Denise Delvis</cp:lastModifiedBy>
  <cp:revision>36</cp:revision>
  <dcterms:created xsi:type="dcterms:W3CDTF">2021-09-23T17:17:00Z</dcterms:created>
  <dcterms:modified xsi:type="dcterms:W3CDTF">2023-05-22T21:05:00Z</dcterms:modified>
  <cp:category/>
</cp:coreProperties>
</file>